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200" w:after="80"/>
      </w:pPr>
      <w:r>
        <w:rPr>
          <w:rFonts w:ascii="Calibri" w:hAnsi="Calibri"/>
          <w:b/>
          <w:color w:val="000000"/>
          <w:sz w:val="46"/>
        </w:rPr>
        <w:t>ПУБЛИЧНАЯ ОФЕРТА</w:t>
      </w:r>
    </w:p>
    <w:p>
      <w:pPr>
        <w:widowControl/>
        <w:spacing w:after="80"/>
      </w:pPr>
      <w:r>
        <w:rPr>
          <w:color w:val="464646"/>
          <w:sz w:val="28"/>
        </w:rPr>
        <w:t>и условия использования сервиса RayFlow</w:t>
      </w:r>
    </w:p>
    <w:p>
      <w:pPr>
        <w:widowControl/>
        <w:spacing w:after="280"/>
      </w:pPr>
      <w:r>
        <w:rPr>
          <w:i/>
        </w:rPr>
        <w:t>Редакция от 22 августа 2026 года</w:t>
      </w:r>
    </w:p>
    <w:p>
      <w:pPr>
        <w:widowControl/>
        <w:spacing w:after="80"/>
      </w:pPr>
      <w:r>
        <w:rPr>
          <w:i w:val="0"/>
        </w:rPr>
        <w:t>Настоящий документ является предложением ООО «ИМЭДЖ ЛАБ» заключить договор на изложенных ниже условиях. Договор заключается в электронной форме.</w:t>
      </w:r>
    </w:p>
    <w:p>
      <w:pPr>
        <w:pStyle w:val="Heading1"/>
        <w:widowControl/>
      </w:pPr>
      <w:r>
        <w:t>1. Термины и стороны</w:t>
      </w:r>
    </w:p>
    <w:p>
      <w:pPr>
        <w:widowControl/>
        <w:spacing w:after="80"/>
      </w:pPr>
      <w:r>
        <w:rPr>
          <w:b/>
        </w:rPr>
        <w:t xml:space="preserve">1.1. </w:t>
      </w:r>
      <w:r>
        <w:t>Исполнитель — ООО «ИМЭДЖ ЛАБ», ИНН 9725126303, КПП 772501001, ОГРН 1237700406602, юридический адрес: 115114, г. Москва, Даниловская набережная, д. 8, стр. 7.</w:t>
      </w:r>
    </w:p>
    <w:p>
      <w:pPr>
        <w:widowControl/>
        <w:spacing w:after="80"/>
      </w:pPr>
      <w:r>
        <w:rPr>
          <w:b/>
        </w:rPr>
        <w:t xml:space="preserve">1.2. </w:t>
      </w:r>
      <w:r>
        <w:t>RayFlow (Сервис) — программный сервис, предоставляющий медицинскому специалисту инструменты для подготовки проекта медицинской документации и получения информационно-справочных материалов.</w:t>
      </w:r>
    </w:p>
    <w:p>
      <w:pPr>
        <w:widowControl/>
        <w:spacing w:after="80"/>
      </w:pPr>
      <w:r>
        <w:rPr>
          <w:b/>
        </w:rPr>
        <w:t xml:space="preserve">1.3. </w:t>
      </w:r>
      <w:r>
        <w:t>Пользователь — дееспособное физическое лицо, использующее Сервис и принявшее настоящую Оферту.</w:t>
      </w:r>
    </w:p>
    <w:p>
      <w:pPr>
        <w:widowControl/>
        <w:spacing w:after="80"/>
      </w:pPr>
      <w:r>
        <w:rPr>
          <w:b/>
        </w:rPr>
        <w:t xml:space="preserve">1.4. </w:t>
      </w:r>
      <w:r>
        <w:t>Подписка — доступ к выбранному набору функций Сервиса на оплаченный период.</w:t>
      </w:r>
    </w:p>
    <w:p>
      <w:pPr>
        <w:pStyle w:val="Heading1"/>
        <w:widowControl/>
      </w:pPr>
      <w:r>
        <w:t>2. Заключение договора</w:t>
      </w:r>
    </w:p>
    <w:p>
      <w:pPr>
        <w:widowControl/>
        <w:spacing w:after="80"/>
      </w:pPr>
      <w:r>
        <w:rPr>
          <w:b/>
        </w:rPr>
        <w:t xml:space="preserve">2.1. </w:t>
      </w:r>
      <w:r>
        <w:t>Оферта принимается путем установки отдельной отметки о согласии и нажатия кнопки продолжения в интерфейсе Сервиса. Использование отдельных бесплатных функций после принятия Оферты также регулируется настоящим документом.</w:t>
      </w:r>
    </w:p>
    <w:p>
      <w:pPr>
        <w:widowControl/>
        <w:spacing w:after="80"/>
      </w:pPr>
      <w:r>
        <w:rPr>
          <w:b/>
        </w:rPr>
        <w:t xml:space="preserve">2.2. </w:t>
      </w:r>
      <w:r>
        <w:t>Согласие на обработку персональных данных и согласие на автоматические периодические платежи оформляются отдельно в предусмотренных для них случаях.</w:t>
      </w:r>
    </w:p>
    <w:p>
      <w:pPr>
        <w:widowControl/>
        <w:spacing w:after="80"/>
      </w:pPr>
      <w:r>
        <w:rPr>
          <w:b/>
        </w:rPr>
        <w:t xml:space="preserve">2.3. </w:t>
      </w:r>
      <w:r>
        <w:t>Исполнитель фиксирует факт, дату и версию принятой Оферты.</w:t>
      </w:r>
    </w:p>
    <w:p>
      <w:pPr>
        <w:pStyle w:val="Heading1"/>
        <w:widowControl/>
      </w:pPr>
      <w:r>
        <w:t>3. Назначение и использование Сервиса</w:t>
      </w:r>
    </w:p>
    <w:p>
      <w:pPr>
        <w:widowControl/>
        <w:spacing w:after="80"/>
      </w:pPr>
      <w:r>
        <w:rPr>
          <w:b/>
        </w:rPr>
        <w:t xml:space="preserve">3.1. </w:t>
      </w:r>
      <w:r>
        <w:t>Сервис помогает преобразовать введенный или продиктованный Пользователем материал в проект структурированного описания и заключения, а также может предоставлять рекомендации, ответы на профессиональные вопросы и ссылки на источники.</w:t>
      </w:r>
    </w:p>
    <w:p>
      <w:pPr>
        <w:widowControl/>
        <w:spacing w:after="80"/>
      </w:pPr>
      <w:r>
        <w:rPr>
          <w:b/>
        </w:rPr>
        <w:t xml:space="preserve">3.2. </w:t>
      </w:r>
      <w:r>
        <w:t>RayFlow формирует проект медицинской документации. Результат может содержать неточности и требует обязательной проверки медицинским специалистом. Окончательное медицинское решение принимает врач.</w:t>
      </w:r>
    </w:p>
    <w:p>
      <w:pPr>
        <w:widowControl/>
        <w:spacing w:after="80"/>
      </w:pPr>
      <w:r>
        <w:rPr>
          <w:b/>
        </w:rPr>
        <w:t xml:space="preserve">3.3. </w:t>
      </w:r>
      <w:r>
        <w:t>Материалы Сервиса носят вспомогательный и информационно-справочный характер, не являются самостоятельной диагностикой, назначением лечения или медицинской услугой пациенту.</w:t>
      </w:r>
    </w:p>
    <w:p>
      <w:pPr>
        <w:widowControl/>
        <w:spacing w:after="80"/>
      </w:pPr>
      <w:r>
        <w:rPr>
          <w:b/>
        </w:rPr>
        <w:t xml:space="preserve">3.4. </w:t>
      </w:r>
      <w:r>
        <w:t>Пользователь обязан оценивать результат с учетом клинических данных, профессиональных стандартов и собственной квалификации и самостоятельно отвечает за окончательный документ и принятое медицинское решение.</w:t>
      </w:r>
    </w:p>
    <w:p>
      <w:pPr>
        <w:widowControl/>
        <w:spacing w:after="80"/>
      </w:pPr>
      <w:r>
        <w:rPr>
          <w:b/>
        </w:rPr>
        <w:t xml:space="preserve">3.5. </w:t>
      </w:r>
      <w:r>
        <w:t>Пользователю запрещено передавать через Сервис ФИО пациента, дату рождения, номер медицинской карты, телефон, адрес и иные сведения, позволяющие идентифицировать пациента.</w:t>
      </w:r>
    </w:p>
    <w:p>
      <w:pPr>
        <w:widowControl/>
        <w:spacing w:after="80"/>
      </w:pPr>
      <w:r>
        <w:rPr>
          <w:b/>
        </w:rPr>
        <w:t xml:space="preserve">3.6. </w:t>
      </w:r>
      <w:r>
        <w:t>Запрещены незаконное использование Сервиса, вмешательство в его работу, обход ограничений доступа, передача доступа третьим лицам и нарушение прав правообладателей.</w:t>
      </w:r>
    </w:p>
    <w:p>
      <w:pPr>
        <w:pStyle w:val="Heading1"/>
        <w:widowControl/>
      </w:pPr>
      <w:r>
        <w:t>4. Доступ, тарифы и пробный период</w:t>
      </w:r>
    </w:p>
    <w:p>
      <w:pPr>
        <w:widowControl/>
        <w:spacing w:after="80"/>
      </w:pPr>
      <w:r>
        <w:rPr>
          <w:b/>
        </w:rPr>
        <w:t xml:space="preserve">4.1. </w:t>
      </w:r>
      <w:r>
        <w:t>Состав функций, ограничения, стоимость и срок Подписки указываются в интерфейсе до оплаты. Исполнитель вправе изменять их для будущих периодов; оплаченный период изменению не подлежит.</w:t>
      </w:r>
    </w:p>
    <w:p>
      <w:pPr>
        <w:widowControl/>
        <w:spacing w:after="80"/>
      </w:pPr>
      <w:r>
        <w:rPr>
          <w:b/>
        </w:rPr>
        <w:t xml:space="preserve">4.2. </w:t>
      </w:r>
      <w:r>
        <w:t>Базовый тариф стоит 990 рублей в месяц, расширенный тариф — 2 790 рублей в месяц, если в интерфейсе до оплаты не указана иная цена с учетом акции или промокода.</w:t>
      </w:r>
    </w:p>
    <w:p>
      <w:pPr>
        <w:widowControl/>
        <w:spacing w:after="80"/>
      </w:pPr>
      <w:r>
        <w:rPr>
          <w:b/>
        </w:rPr>
        <w:t xml:space="preserve">4.3. </w:t>
      </w:r>
      <w:r>
        <w:t>Новому Пользователю может предоставляться однократный пробный доступ на первые 20 успешно сформированных протоколов. Протокол считается сформированным, когда результат обработки создан и доступен Пользователю. Пробный доступ повторно для того же аккаунта не предоставляется.</w:t>
      </w:r>
    </w:p>
    <w:p>
      <w:pPr>
        <w:widowControl/>
        <w:spacing w:after="80"/>
      </w:pPr>
      <w:r>
        <w:rPr>
          <w:b/>
        </w:rPr>
        <w:t xml:space="preserve">4.4. </w:t>
      </w:r>
      <w:r>
        <w:t>Промокод применяется на условиях соответствующей акции. Он не обменивается на деньги и не суммируется с другими промокодами, если прямо не указано иное. Итоговая цена показывается до оплаты.</w:t>
      </w:r>
    </w:p>
    <w:p>
      <w:pPr>
        <w:pStyle w:val="Heading1"/>
        <w:widowControl/>
      </w:pPr>
      <w:r>
        <w:t>5. Оплата и электронные чеки</w:t>
      </w:r>
    </w:p>
    <w:p>
      <w:pPr>
        <w:widowControl/>
        <w:spacing w:after="80"/>
      </w:pPr>
      <w:r>
        <w:rPr>
          <w:b/>
        </w:rPr>
        <w:t xml:space="preserve">5.1. </w:t>
      </w:r>
      <w:r>
        <w:t>Оплата производится безналично через доступные в интерфейсе платежные способы. Платеж обрабатывается привлеченными платежными организациями.</w:t>
      </w:r>
    </w:p>
    <w:p>
      <w:pPr>
        <w:widowControl/>
        <w:spacing w:after="80"/>
      </w:pPr>
      <w:r>
        <w:rPr>
          <w:b/>
        </w:rPr>
        <w:t xml:space="preserve">5.2. </w:t>
      </w:r>
      <w:r>
        <w:t>До оплаты Пользователю показываются выбранный тариф, период, стоимость, скидка и итоговая сумма.</w:t>
      </w:r>
    </w:p>
    <w:p>
      <w:pPr>
        <w:widowControl/>
        <w:spacing w:after="80"/>
      </w:pPr>
      <w:r>
        <w:rPr>
          <w:b/>
        </w:rPr>
        <w:t xml:space="preserve">5.3. </w:t>
      </w:r>
      <w:r>
        <w:t>Электронные кассовые чеки направляются на адрес электронной почты, указанный Пользователем при оплате.</w:t>
      </w:r>
    </w:p>
    <w:p>
      <w:pPr>
        <w:widowControl/>
        <w:spacing w:after="80"/>
      </w:pPr>
      <w:r>
        <w:rPr>
          <w:b/>
        </w:rPr>
        <w:t xml:space="preserve">5.4. </w:t>
      </w:r>
      <w:r>
        <w:t>Обязанность Пользователя по оплате считается исполненной после подтверждения платежа платежной системой.</w:t>
      </w:r>
    </w:p>
    <w:p>
      <w:pPr>
        <w:pStyle w:val="Heading1"/>
        <w:widowControl/>
      </w:pPr>
      <w:r>
        <w:t>6. Автоматическое продление</w:t>
      </w:r>
    </w:p>
    <w:p>
      <w:pPr>
        <w:widowControl/>
        <w:spacing w:after="80"/>
      </w:pPr>
      <w:r>
        <w:rPr>
          <w:b/>
        </w:rPr>
        <w:t xml:space="preserve">6.1. </w:t>
      </w:r>
      <w:r>
        <w:t>Автоматическое продление подключается только после отдельного согласия Пользователя, данного перед оплатой с указанием тарифа, суммы, периода и даты следующего списания.</w:t>
      </w:r>
    </w:p>
    <w:p>
      <w:pPr>
        <w:widowControl/>
        <w:spacing w:after="80"/>
      </w:pPr>
      <w:r>
        <w:rPr>
          <w:b/>
        </w:rPr>
        <w:t xml:space="preserve">6.2. </w:t>
      </w:r>
      <w:r>
        <w:t>При включенном автопродлении стоимость следующего периода списывается автоматически. Актуальная стоимость показывается Пользователю до подключения и при ее изменении доводится до сведения до очередного списания.</w:t>
      </w:r>
    </w:p>
    <w:p>
      <w:pPr>
        <w:widowControl/>
        <w:spacing w:after="80"/>
      </w:pPr>
      <w:r>
        <w:rPr>
          <w:b/>
        </w:rPr>
        <w:t xml:space="preserve">6.3. </w:t>
      </w:r>
      <w:r>
        <w:t>Пользователь вправе в любое время отключить автопродление в настройках Сервиса либо обратиться по адресу andreiustalov@gmail.com. После отключения новые списания не производятся, а доступ сохраняется до конца оплаченного периода.</w:t>
      </w:r>
    </w:p>
    <w:p>
      <w:pPr>
        <w:widowControl/>
        <w:spacing w:after="80"/>
      </w:pPr>
      <w:r>
        <w:rPr>
          <w:b/>
        </w:rPr>
        <w:t xml:space="preserve">6.4. </w:t>
      </w:r>
      <w:r>
        <w:t>Исполнитель не использует для периодических списаний платежные реквизиты, в отношении которых Пользователь выразил отказ от использования. Отказ принимается в электронной форме.</w:t>
      </w:r>
    </w:p>
    <w:p>
      <w:pPr>
        <w:pStyle w:val="Heading1"/>
        <w:widowControl/>
      </w:pPr>
      <w:r>
        <w:t>7. Отказ от договора и возврат</w:t>
      </w:r>
    </w:p>
    <w:p>
      <w:pPr>
        <w:widowControl/>
        <w:spacing w:after="80"/>
      </w:pPr>
      <w:r>
        <w:rPr>
          <w:b/>
        </w:rPr>
        <w:t xml:space="preserve">7.1. </w:t>
      </w:r>
      <w:r>
        <w:t>Пользователь вправе отказаться от Подписки в любое время. Отключение автопродления прекращает будущие списания и само по себе не прекращает доступ до конца уже оплаченного периода.</w:t>
      </w:r>
    </w:p>
    <w:p>
      <w:pPr>
        <w:widowControl/>
        <w:spacing w:after="80"/>
      </w:pPr>
      <w:r>
        <w:rPr>
          <w:b/>
        </w:rPr>
        <w:t xml:space="preserve">7.2. </w:t>
      </w:r>
      <w:r>
        <w:t>Требование о возврате направляется на andreiustalov@gmail.com с указанием аккаунта, даты и суммы платежа. Исполнитель вправе запросить сведения, необходимые для идентификации платежа.</w:t>
      </w:r>
    </w:p>
    <w:p>
      <w:pPr>
        <w:widowControl/>
        <w:spacing w:after="80"/>
      </w:pPr>
      <w:r>
        <w:rPr>
          <w:b/>
        </w:rPr>
        <w:t xml:space="preserve">7.3. </w:t>
      </w:r>
      <w:r>
        <w:t>При отказе от договора возвращается стоимость неоказанной части услуг за вычетом документально подтвержденных фактически понесенных расходов Исполнителя. Ошибочное или повторное списание возвращается полностью. Возврат производится тем же способом оплаты, если иной порядок не требуется законом или платежной организацией.</w:t>
      </w:r>
    </w:p>
    <w:p>
      <w:pPr>
        <w:widowControl/>
        <w:spacing w:after="80"/>
      </w:pPr>
      <w:r>
        <w:rPr>
          <w:b/>
        </w:rPr>
        <w:t xml:space="preserve">7.4. </w:t>
      </w:r>
      <w:r>
        <w:t>Требование рассматривается и возврат производится в сроки, установленные законодательством Российской Федерации.</w:t>
      </w:r>
    </w:p>
    <w:p>
      <w:pPr>
        <w:pStyle w:val="Heading1"/>
        <w:widowControl/>
      </w:pPr>
      <w:r>
        <w:t>8. Работа Сервиса и ответственность</w:t>
      </w:r>
    </w:p>
    <w:p>
      <w:pPr>
        <w:widowControl/>
        <w:spacing w:after="80"/>
      </w:pPr>
      <w:r>
        <w:rPr>
          <w:b/>
        </w:rPr>
        <w:t xml:space="preserve">8.1. </w:t>
      </w:r>
      <w:r>
        <w:t>Исполнитель принимает разумные меры для доступности и безопасности Сервиса, но не гарантирует его непрерывную работу и отсутствие временных технических сбоев.</w:t>
      </w:r>
    </w:p>
    <w:p>
      <w:pPr>
        <w:widowControl/>
        <w:spacing w:after="80"/>
      </w:pPr>
      <w:r>
        <w:rPr>
          <w:b/>
        </w:rPr>
        <w:t xml:space="preserve">8.2. </w:t>
      </w:r>
      <w:r>
        <w:t>Исполнитель вправе временно ограничить доступ для технических работ, обеспечения безопасности или пресечения нарушений.</w:t>
      </w:r>
    </w:p>
    <w:p>
      <w:pPr>
        <w:widowControl/>
        <w:spacing w:after="80"/>
      </w:pPr>
      <w:r>
        <w:rPr>
          <w:b/>
        </w:rPr>
        <w:t xml:space="preserve">8.3. </w:t>
      </w:r>
      <w:r>
        <w:t>Стороны несут ответственность в соответствии с законодательством Российской Федерации. Условия настоящей Оферты не ограничивают права Пользователя, которые не могут быть ограничены договором.</w:t>
      </w:r>
    </w:p>
    <w:p>
      <w:pPr>
        <w:widowControl/>
        <w:spacing w:after="80"/>
      </w:pPr>
      <w:r>
        <w:rPr>
          <w:b/>
        </w:rPr>
        <w:t xml:space="preserve">8.4. </w:t>
      </w:r>
      <w:r>
        <w:t>Исполнитель не отвечает за решения, принятые без обязательной профессиональной проверки результата, за последствия передачи запрещенных идентифицирующих сведений пациента либо за сбои сторонних сетей и платформ вне контроля Исполнителя.</w:t>
      </w:r>
    </w:p>
    <w:p>
      <w:pPr>
        <w:pStyle w:val="Heading1"/>
        <w:widowControl/>
      </w:pPr>
      <w:r>
        <w:t>9. Интеллектуальные права</w:t>
      </w:r>
    </w:p>
    <w:p>
      <w:pPr>
        <w:widowControl/>
        <w:spacing w:after="80"/>
      </w:pPr>
      <w:r>
        <w:rPr>
          <w:b/>
        </w:rPr>
        <w:t xml:space="preserve">9.1. </w:t>
      </w:r>
      <w:r>
        <w:t>Исключительные права на Сервис, его программный код, оформление и предоставляемые Исполнителем материалы принадлежат Исполнителю или законным правообладателям.</w:t>
      </w:r>
    </w:p>
    <w:p>
      <w:pPr>
        <w:widowControl/>
        <w:spacing w:after="80"/>
      </w:pPr>
      <w:r>
        <w:rPr>
          <w:b/>
        </w:rPr>
        <w:t xml:space="preserve">9.2. </w:t>
      </w:r>
      <w:r>
        <w:t>Пользователю предоставляется ограниченное, неисключительное, непередаваемое право использовать доступные функции Сервиса в течение срока доступа.</w:t>
      </w:r>
    </w:p>
    <w:p>
      <w:pPr>
        <w:widowControl/>
        <w:spacing w:after="80"/>
      </w:pPr>
      <w:r>
        <w:rPr>
          <w:b/>
        </w:rPr>
        <w:t xml:space="preserve">9.3. </w:t>
      </w:r>
      <w:r>
        <w:t>Права на материалы, законно введенные Пользователем, сохраняются за их правообладателем. Использование материалов для разработки и улучшения технологий допускается только при наличии отдельного добровольного согласия.</w:t>
      </w:r>
    </w:p>
    <w:p>
      <w:pPr>
        <w:pStyle w:val="Heading1"/>
        <w:widowControl/>
      </w:pPr>
      <w:r>
        <w:t>10. Персональные данные</w:t>
      </w:r>
    </w:p>
    <w:p>
      <w:pPr>
        <w:widowControl/>
        <w:spacing w:after="80"/>
      </w:pPr>
      <w:r>
        <w:rPr>
          <w:b/>
        </w:rPr>
        <w:t xml:space="preserve">10.1. </w:t>
      </w:r>
      <w:r>
        <w:t>Обработка персональных данных осуществляется в соответствии с Политикой обработки персональных данных и отдельным согласием Пользователя.</w:t>
      </w:r>
    </w:p>
    <w:p>
      <w:pPr>
        <w:widowControl/>
        <w:spacing w:after="80"/>
      </w:pPr>
      <w:r>
        <w:rPr>
          <w:b/>
        </w:rPr>
        <w:t xml:space="preserve">10.2. </w:t>
      </w:r>
      <w:r>
        <w:t>Пользователь может удалить отдельные материалы, очистить историю или удалить аккаунт доступным способом. Сведения, обязательные к хранению по закону, сохраняются в необходимом объеме и на установленный срок.</w:t>
      </w:r>
    </w:p>
    <w:p>
      <w:pPr>
        <w:pStyle w:val="Heading1"/>
        <w:widowControl/>
      </w:pPr>
      <w:r>
        <w:t>11. Срок действия и изменение условий</w:t>
      </w:r>
    </w:p>
    <w:p>
      <w:pPr>
        <w:widowControl/>
        <w:spacing w:after="80"/>
      </w:pPr>
      <w:r>
        <w:rPr>
          <w:b/>
        </w:rPr>
        <w:t xml:space="preserve">11.1. </w:t>
      </w:r>
      <w:r>
        <w:t>Договор действует с момента акцепта до прекращения использования Сервиса, удаления аккаунта или прекращения договора по иному законному основанию. Условия оплаченного периода сохраняются до его окончания.</w:t>
      </w:r>
    </w:p>
    <w:p>
      <w:pPr>
        <w:widowControl/>
        <w:spacing w:after="80"/>
      </w:pPr>
      <w:r>
        <w:rPr>
          <w:b/>
        </w:rPr>
        <w:t xml:space="preserve">11.2. </w:t>
      </w:r>
      <w:r>
        <w:t>Исполнитель вправе изменять Оферту. Новая редакция применяется с указанной в ней даты. При существенном изменении условий Пользователю предлагается принять новую редакцию до продолжения использования соответствующих функций.</w:t>
      </w:r>
    </w:p>
    <w:p>
      <w:pPr>
        <w:pStyle w:val="Heading1"/>
        <w:widowControl/>
      </w:pPr>
      <w:r>
        <w:t>12. Обращения и споры</w:t>
      </w:r>
    </w:p>
    <w:p>
      <w:pPr>
        <w:widowControl/>
        <w:spacing w:after="80"/>
      </w:pPr>
      <w:r>
        <w:rPr>
          <w:b/>
        </w:rPr>
        <w:t xml:space="preserve">12.1. </w:t>
      </w:r>
      <w:r>
        <w:t>Обращения, претензии и запросы направляются на andreiustalov@gmail.com либо по юридическому адресу Исполнителя.</w:t>
      </w:r>
    </w:p>
    <w:p>
      <w:pPr>
        <w:widowControl/>
        <w:spacing w:after="80"/>
      </w:pPr>
      <w:r>
        <w:rPr>
          <w:b/>
        </w:rPr>
        <w:t xml:space="preserve">12.2. </w:t>
      </w:r>
      <w:r>
        <w:t>Стороны вправе урегулировать разногласия путем направления претензии в электронной или письменной форме.</w:t>
      </w:r>
    </w:p>
    <w:p>
      <w:pPr>
        <w:widowControl/>
        <w:spacing w:after="80"/>
      </w:pPr>
      <w:r>
        <w:rPr>
          <w:b/>
        </w:rPr>
        <w:t xml:space="preserve">12.3. </w:t>
      </w:r>
      <w:r>
        <w:t>При невозможности урегулировать спор он рассматривается судом в соответствии с законодательством Российской Федерации. Пользователь, являющийся потребителем, сохраняет право выбора суда в предусмотренных законом случаях.</w:t>
      </w:r>
    </w:p>
    <w:p>
      <w:pPr>
        <w:pStyle w:val="Heading1"/>
        <w:widowControl/>
      </w:pPr>
      <w:r>
        <w:t>13. Реквизиты Исполнителя</w:t>
      </w:r>
    </w:p>
    <w:p>
      <w:pPr>
        <w:widowControl/>
        <w:spacing w:after="80"/>
      </w:pPr>
      <w:r>
        <w:rPr>
          <w:i w:val="0"/>
        </w:rPr>
        <w:t>ООО «ИМЭДЖ ЛАБ»</w:t>
        <w:br/>
        <w:t>ИНН 9725126303</w:t>
        <w:br/>
        <w:t>КПП 772501001</w:t>
        <w:br/>
        <w:t>ОГРН 1237700406602</w:t>
        <w:br/>
        <w:t>Юридический адрес: 115114, г. Москва, Даниловская набережная, д. 8, стр. 7</w:t>
        <w:br/>
        <w:t>Генеральный директор: Кондратьев Евгений Валерьевич</w:t>
        <w:br/>
        <w:t>Банк: АО «АЛЬФА-БАНК»</w:t>
        <w:br/>
        <w:t>Email: andreiustalov@gmail.com</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E6E6E"/>
        <w:sz w:val="18"/>
      </w:rPr>
      <w:t xml:space="preserve">Страница </w:t>
    </w:r>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6E6E6E"/>
        <w:sz w:val="16"/>
      </w:rPr>
      <w:t>RayFlow | Публичная оферта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Calibri" w:hAnsi="Calibri"/>
      <w:b/>
      <w:bCs/>
      <w:color w:val="2E74B5"/>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Calibri" w:hAnsi="Calibri"/>
      <w:b/>
      <w:bCs/>
      <w:color w:val="2E74B5"/>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Calibri" w:hAnsi="Calibri"/>
      <w:b/>
      <w:bCs/>
      <w:color w:val="1F4D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и условия использования RayFlow</dc:title>
  <dc:subject>Условия использования и подписки</dc:subject>
  <dc:creator>ООО «ИМЭДЖ ЛАБ»</dc:creator>
  <cp:keywords>RayFlow, публичная оферта, подписка</cp:keywords>
  <dc:description>generated by python-docx</dc:description>
  <cp:lastModifiedBy/>
  <cp:revision>1</cp:revision>
  <dcterms:created xsi:type="dcterms:W3CDTF">2013-12-23T23:15:00Z</dcterms:created>
  <dcterms:modified xsi:type="dcterms:W3CDTF">2013-12-23T23:15:00Z</dcterms:modified>
  <cp:category/>
</cp:coreProperties>
</file>